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8" w:rsidRDefault="00BD4718" w:rsidP="00BD47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Приложение № 1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4718" w:rsidTr="00BD47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D4718" w:rsidTr="00BD4718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4718" w:rsidRDefault="00BD4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4718" w:rsidTr="00BD4718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4718" w:rsidRDefault="00BD4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4718" w:rsidTr="00BD4718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4718" w:rsidRDefault="00BD4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гранта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>
        <w:rPr>
          <w:rFonts w:ascii="Times New Roman" w:hAnsi="Times New Roman"/>
          <w:b/>
          <w:sz w:val="28"/>
          <w:szCs w:val="28"/>
          <w:u w:val="single"/>
        </w:rPr>
        <w:t>2 000 000 (два миллиона)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255"/>
      </w:tblGrid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 w:rsidP="00BD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BD4718" w:rsidRDefault="00BD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отбора или адрес регистрации по месту жительства участника отбора (индивидуального предпринимателя)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675000, г. Благовещенск, ул.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Красноармейская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10, кв. 15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БИК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BD4718" w:rsidTr="00BD4718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8" w:rsidRDefault="00BD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КПП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Default="00BD471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/____________/     </w:t>
      </w:r>
      <w:r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BD4718" w:rsidRDefault="00BD4718" w:rsidP="00BD4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D4718" w:rsidRDefault="00BD4718" w:rsidP="00BD471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 xml:space="preserve">    /____________/             </w:t>
      </w:r>
      <w:r>
        <w:rPr>
          <w:rFonts w:ascii="Times New Roman" w:hAnsi="Times New Roman"/>
          <w:b/>
          <w:sz w:val="28"/>
          <w:szCs w:val="28"/>
        </w:rPr>
        <w:t>И.И. Иванов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(подпись)  (расшифровка подписи)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718" w:rsidRDefault="00BD4718" w:rsidP="00BD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F"/>
    <w:rsid w:val="0003082F"/>
    <w:rsid w:val="003C410F"/>
    <w:rsid w:val="00BD4718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718"/>
    <w:rPr>
      <w:color w:val="0000FF" w:themeColor="hyperlink"/>
      <w:u w:val="single"/>
    </w:rPr>
  </w:style>
  <w:style w:type="paragraph" w:customStyle="1" w:styleId="ConsPlusNormal">
    <w:name w:val="ConsPlusNormal"/>
    <w:rsid w:val="00BD4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718"/>
    <w:rPr>
      <w:color w:val="0000FF" w:themeColor="hyperlink"/>
      <w:u w:val="single"/>
    </w:rPr>
  </w:style>
  <w:style w:type="paragraph" w:customStyle="1" w:styleId="ConsPlusNormal">
    <w:name w:val="ConsPlusNormal"/>
    <w:rsid w:val="00BD4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2022-06-02T08:16:00Z</dcterms:created>
  <dcterms:modified xsi:type="dcterms:W3CDTF">2022-06-02T08:20:00Z</dcterms:modified>
</cp:coreProperties>
</file>