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920CAEC" w:rsidR="005271D9" w:rsidRPr="00762076" w:rsidRDefault="009B0A13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B88F630" w:rsidR="005271D9" w:rsidRPr="00762076" w:rsidRDefault="009B0A13" w:rsidP="009B0A13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F669AD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A27548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A27548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A27548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A27548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16131C1C" w14:textId="77777777" w:rsidR="00F669AD" w:rsidRPr="00A27548" w:rsidRDefault="009B5F6B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</w:t>
            </w:r>
            <w:r w:rsidR="00F669AD"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на отклонение </w:t>
            </w:r>
          </w:p>
          <w:p w14:paraId="389D2EBC" w14:textId="18FBFC6B" w:rsidR="009B5F6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от предельных параметров разрешённого строительства объекта капитального строительства для земельного участка с кадастровым номером </w:t>
            </w:r>
            <w:r w:rsidR="00A27548"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28:01:010313:4</w:t>
            </w:r>
            <w:r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расположенного                    в квартале </w:t>
            </w:r>
            <w:r w:rsidR="00A27548"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313</w:t>
            </w:r>
            <w:r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="009B5F6B"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49E2E7D7" w14:textId="77777777" w:rsidR="002A7733" w:rsidRPr="00E673AD" w:rsidRDefault="002A7733" w:rsidP="00EB2527">
            <w:pPr>
              <w:ind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0AF9DDC" w14:textId="00D7ACDF" w:rsidR="00F669AD" w:rsidRPr="00190B73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</w:t>
            </w:r>
            <w:r w:rsidR="00190B73" w:rsidRPr="00190B7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Груздева Андрея Николаевича (</w:t>
            </w:r>
            <w:proofErr w:type="spellStart"/>
            <w:r w:rsidR="00190B73" w:rsidRPr="00190B7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вх</w:t>
            </w:r>
            <w:proofErr w:type="spellEnd"/>
            <w:r w:rsidR="00190B73" w:rsidRPr="00190B7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 xml:space="preserve">. 9056з </w:t>
            </w:r>
            <w:r w:rsidR="00987807" w:rsidRPr="0098780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 xml:space="preserve">                       </w:t>
            </w:r>
            <w:r w:rsidR="00190B73" w:rsidRPr="00190B7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от 28.12.2022)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, в соответствии со статьей 40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утверждённым решением Благовещенской городской Думы от 14.06.2018 </w:t>
            </w:r>
            <w:r w:rsidR="00375384" w:rsidRPr="00190B73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t>№ 46/56, в</w:t>
            </w:r>
            <w:proofErr w:type="gramEnd"/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Pr="00190B73">
              <w:rPr>
                <w:rFonts w:ascii="Times New Roman" w:eastAsia="Calibri" w:hAnsi="Times New Roman" w:cs="Times New Roman"/>
                <w:sz w:val="28"/>
              </w:rPr>
              <w:t>целях</w:t>
            </w:r>
            <w:proofErr w:type="gramEnd"/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6C47B106" w14:textId="77777777" w:rsidR="00F669AD" w:rsidRPr="00190B73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190B73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190B73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155F248D" w14:textId="563C12F3" w:rsidR="00F669AD" w:rsidRPr="00190B73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r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Провести с </w:t>
            </w:r>
            <w:r w:rsidR="00867A30"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27 января</w:t>
            </w:r>
            <w:r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</w:t>
            </w:r>
            <w:r w:rsidR="00867A30"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по </w:t>
            </w:r>
            <w:r w:rsidR="00867A30"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24</w:t>
            </w:r>
            <w:r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867A30"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февраля</w:t>
            </w:r>
            <w:r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</w:t>
            </w:r>
            <w:r w:rsidR="00867A30"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публичные слушания по проекту постановления администрации города Благовещенска                               «О предоставлении разрешения на отклонение от предельных параметров разрешённого строительства объекта капитального строительства для земельного участка с кадастровым номером </w:t>
            </w:r>
            <w:r w:rsidR="00190B73"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</w:t>
            </w:r>
            <w:r w:rsidR="00190B73"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010313:4</w:t>
            </w:r>
            <w:r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расположенного в квартале </w:t>
            </w:r>
            <w:r w:rsidR="00190B73"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313</w:t>
            </w:r>
            <w:r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Благовещенска» 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t>(приложение к настоящему постановлению).</w:t>
            </w:r>
          </w:p>
          <w:p w14:paraId="7E09ED7E" w14:textId="77777777" w:rsidR="00F669AD" w:rsidRPr="00190B73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90B73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DE8E46C" w14:textId="70266262" w:rsidR="00F669AD" w:rsidRPr="00190B73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867A30" w:rsidRPr="00190B73">
              <w:rPr>
                <w:rFonts w:ascii="Times New Roman" w:eastAsia="Calibri" w:hAnsi="Times New Roman" w:cs="Times New Roman"/>
                <w:sz w:val="28"/>
              </w:rPr>
              <w:t>16 февраля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867A30" w:rsidRPr="00190B73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4A8FE192" w14:textId="77777777" w:rsidR="00F669AD" w:rsidRPr="00190B73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4. Управлению по документационному обеспечению управления администрации города Благовещенска (управление по ДОУ) обеспечить 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lastRenderedPageBreak/>
              <w:t>опубликование в газете «Благовещенск»:</w:t>
            </w:r>
          </w:p>
          <w:p w14:paraId="0CCD6BD1" w14:textId="62D91827" w:rsidR="00F669AD" w:rsidRPr="00190B73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 w:rsidR="00F270AA" w:rsidRPr="00190B73">
              <w:rPr>
                <w:rFonts w:ascii="Times New Roman" w:eastAsia="Calibri" w:hAnsi="Times New Roman" w:cs="Times New Roman"/>
                <w:sz w:val="28"/>
              </w:rPr>
              <w:t>27 января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 w:rsidRPr="00190B73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3FADF93B" w14:textId="56BF95FC" w:rsidR="00F669AD" w:rsidRPr="00190B73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F270AA" w:rsidRPr="00190B73">
              <w:rPr>
                <w:rFonts w:ascii="Times New Roman" w:eastAsia="Calibri" w:hAnsi="Times New Roman" w:cs="Times New Roman"/>
                <w:sz w:val="28"/>
              </w:rPr>
              <w:t>24</w:t>
            </w:r>
            <w:r w:rsidR="009B2D8D" w:rsidRPr="00190B73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F270AA" w:rsidRPr="00190B73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 w:rsidRPr="00190B73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103F3124" w14:textId="3B5A9E82" w:rsidR="00F669AD" w:rsidRPr="00190B73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F270AA" w:rsidRPr="00190B73">
              <w:rPr>
                <w:rFonts w:ascii="Times New Roman" w:eastAsia="Calibri" w:hAnsi="Times New Roman" w:cs="Times New Roman"/>
                <w:sz w:val="28"/>
              </w:rPr>
              <w:t>23</w:t>
            </w:r>
            <w:r w:rsidR="009B2D8D" w:rsidRPr="00190B73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F270AA" w:rsidRPr="00190B73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 w:rsidRPr="00190B73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634CEA59" w14:textId="77777777" w:rsidR="00F669AD" w:rsidRPr="00190B73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190B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      </w:r>
          </w:p>
          <w:p w14:paraId="18C741FC" w14:textId="77777777" w:rsidR="00F669AD" w:rsidRPr="00190B73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90B73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6A4CC2F3" w14:textId="7CF11E13" w:rsidR="00F270AA" w:rsidRPr="00190B73" w:rsidRDefault="00F270AA" w:rsidP="00401F6E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8. Настоящее постановление вступает в силу со дня официального опубликования в газете «Благовещенск» и подлежит размещению на официальном сайте администрации города Благовещенска </w:t>
            </w:r>
            <w:hyperlink r:id="rId8" w:history="1">
              <w:r w:rsidRPr="00190B73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u w:val="none"/>
                </w:rPr>
                <w:t>https://www.admblag.ru/</w:t>
              </w:r>
            </w:hyperlink>
            <w:r w:rsidRPr="00190B73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14:paraId="39EB40B8" w14:textId="136DB13F" w:rsidR="00650815" w:rsidRPr="00F669AD" w:rsidRDefault="00F669AD" w:rsidP="00F669AD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B73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190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190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9B0A1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7354B1E" w:rsidR="009B0A13" w:rsidRPr="002763B7" w:rsidRDefault="009B0A13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8F0E884" w:rsidR="009B0A13" w:rsidRPr="002763B7" w:rsidRDefault="009B0A13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3D14DB08" w:rsidR="00440D91" w:rsidRPr="00440D91" w:rsidRDefault="00440D91" w:rsidP="009B0A1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5A7047" w14:textId="77777777" w:rsidR="00B12451" w:rsidRDefault="00B12451" w:rsidP="002747B1">
      <w:pPr>
        <w:spacing w:after="0" w:line="240" w:lineRule="auto"/>
      </w:pPr>
      <w:r>
        <w:separator/>
      </w:r>
    </w:p>
  </w:endnote>
  <w:endnote w:type="continuationSeparator" w:id="0">
    <w:p w14:paraId="5E4FAFA8" w14:textId="77777777" w:rsidR="00B12451" w:rsidRDefault="00B12451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3FCE14" w14:textId="77777777" w:rsidR="00B12451" w:rsidRDefault="00B12451" w:rsidP="002747B1">
      <w:pPr>
        <w:spacing w:after="0" w:line="240" w:lineRule="auto"/>
      </w:pPr>
      <w:r>
        <w:separator/>
      </w:r>
    </w:p>
  </w:footnote>
  <w:footnote w:type="continuationSeparator" w:id="0">
    <w:p w14:paraId="71B873CA" w14:textId="77777777" w:rsidR="00B12451" w:rsidRDefault="00B12451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A13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D0D"/>
    <w:rsid w:val="00020988"/>
    <w:rsid w:val="00034F5B"/>
    <w:rsid w:val="000360CE"/>
    <w:rsid w:val="00036742"/>
    <w:rsid w:val="00107C33"/>
    <w:rsid w:val="00163940"/>
    <w:rsid w:val="00190B73"/>
    <w:rsid w:val="001D52EF"/>
    <w:rsid w:val="001F2F29"/>
    <w:rsid w:val="00223324"/>
    <w:rsid w:val="0022751D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4503D"/>
    <w:rsid w:val="00372789"/>
    <w:rsid w:val="00375384"/>
    <w:rsid w:val="003A2736"/>
    <w:rsid w:val="003A30CC"/>
    <w:rsid w:val="003D1D45"/>
    <w:rsid w:val="003E7B86"/>
    <w:rsid w:val="003F161B"/>
    <w:rsid w:val="00401F6E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444B7"/>
    <w:rsid w:val="00564ED0"/>
    <w:rsid w:val="00624012"/>
    <w:rsid w:val="00626C33"/>
    <w:rsid w:val="00650815"/>
    <w:rsid w:val="0065348E"/>
    <w:rsid w:val="006671EE"/>
    <w:rsid w:val="00687A63"/>
    <w:rsid w:val="006940C4"/>
    <w:rsid w:val="006C5D56"/>
    <w:rsid w:val="006C7A89"/>
    <w:rsid w:val="006D6F5D"/>
    <w:rsid w:val="00716CE0"/>
    <w:rsid w:val="0072651F"/>
    <w:rsid w:val="00762076"/>
    <w:rsid w:val="007811BD"/>
    <w:rsid w:val="007C1D5C"/>
    <w:rsid w:val="007F1DF6"/>
    <w:rsid w:val="00801BAF"/>
    <w:rsid w:val="00847EFD"/>
    <w:rsid w:val="00867A30"/>
    <w:rsid w:val="00884C0C"/>
    <w:rsid w:val="00892A3A"/>
    <w:rsid w:val="00894B43"/>
    <w:rsid w:val="008B1860"/>
    <w:rsid w:val="00903A4E"/>
    <w:rsid w:val="00944A00"/>
    <w:rsid w:val="00987807"/>
    <w:rsid w:val="009B0A13"/>
    <w:rsid w:val="009B2D8D"/>
    <w:rsid w:val="009B5F6B"/>
    <w:rsid w:val="009C53D3"/>
    <w:rsid w:val="009E767D"/>
    <w:rsid w:val="00A0674A"/>
    <w:rsid w:val="00A12F1B"/>
    <w:rsid w:val="00A217A0"/>
    <w:rsid w:val="00A27548"/>
    <w:rsid w:val="00A96E78"/>
    <w:rsid w:val="00AC378A"/>
    <w:rsid w:val="00AD6CE4"/>
    <w:rsid w:val="00AF657E"/>
    <w:rsid w:val="00B12451"/>
    <w:rsid w:val="00B21DFE"/>
    <w:rsid w:val="00B35B7D"/>
    <w:rsid w:val="00B65283"/>
    <w:rsid w:val="00B837B2"/>
    <w:rsid w:val="00B8462E"/>
    <w:rsid w:val="00BD2435"/>
    <w:rsid w:val="00BE374F"/>
    <w:rsid w:val="00C144F4"/>
    <w:rsid w:val="00C15123"/>
    <w:rsid w:val="00C41BA2"/>
    <w:rsid w:val="00C43D00"/>
    <w:rsid w:val="00C7276D"/>
    <w:rsid w:val="00C935EB"/>
    <w:rsid w:val="00CB66E7"/>
    <w:rsid w:val="00CE4C32"/>
    <w:rsid w:val="00CF7524"/>
    <w:rsid w:val="00D050C7"/>
    <w:rsid w:val="00D11634"/>
    <w:rsid w:val="00D35724"/>
    <w:rsid w:val="00D53B24"/>
    <w:rsid w:val="00D54BEC"/>
    <w:rsid w:val="00DC77BC"/>
    <w:rsid w:val="00E0733C"/>
    <w:rsid w:val="00E1635D"/>
    <w:rsid w:val="00E329AC"/>
    <w:rsid w:val="00E360F5"/>
    <w:rsid w:val="00E673AD"/>
    <w:rsid w:val="00EB2527"/>
    <w:rsid w:val="00EB3F2F"/>
    <w:rsid w:val="00EC4320"/>
    <w:rsid w:val="00ED2F84"/>
    <w:rsid w:val="00EE6B36"/>
    <w:rsid w:val="00F270AA"/>
    <w:rsid w:val="00F5547E"/>
    <w:rsid w:val="00F669AD"/>
    <w:rsid w:val="00FB2B7F"/>
    <w:rsid w:val="00FC465C"/>
    <w:rsid w:val="00FC6C0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bla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Джанбуршиева Оксана Викторовна</cp:lastModifiedBy>
  <cp:revision>2</cp:revision>
  <cp:lastPrinted>2022-07-13T03:00:00Z</cp:lastPrinted>
  <dcterms:created xsi:type="dcterms:W3CDTF">2023-01-25T23:56:00Z</dcterms:created>
  <dcterms:modified xsi:type="dcterms:W3CDTF">2023-01-25T23:56:00Z</dcterms:modified>
</cp:coreProperties>
</file>