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9" w:rsidRDefault="00F57449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7449" w:rsidRDefault="00F57449">
      <w:pPr>
        <w:pStyle w:val="ConsPlusNormal"/>
        <w:spacing w:line="200" w:lineRule="auto"/>
        <w:jc w:val="both"/>
        <w:outlineLvl w:val="0"/>
      </w:pPr>
    </w:p>
    <w:p w:rsidR="00F57449" w:rsidRDefault="00F57449">
      <w:pPr>
        <w:pStyle w:val="ConsPlusNormal"/>
        <w:spacing w:line="200" w:lineRule="auto"/>
        <w:jc w:val="center"/>
        <w:outlineLvl w:val="0"/>
      </w:pPr>
      <w:r>
        <w:t>МИНИСТЕРСТВО ЭКОНОМИЧЕСКОГО РАЗВИТИЯ И ВНЕШНИХ СВЯЗЕЙ</w:t>
      </w:r>
    </w:p>
    <w:p w:rsidR="00F57449" w:rsidRDefault="00F57449">
      <w:pPr>
        <w:pStyle w:val="ConsPlusNormal"/>
        <w:spacing w:line="200" w:lineRule="auto"/>
        <w:jc w:val="center"/>
      </w:pPr>
      <w:r>
        <w:t>АМУРСКОЙ ОБЛАСТИ</w:t>
      </w:r>
    </w:p>
    <w:p w:rsidR="00F57449" w:rsidRDefault="00F57449">
      <w:pPr>
        <w:pStyle w:val="ConsPlusNormal"/>
        <w:spacing w:line="200" w:lineRule="auto"/>
        <w:ind w:firstLine="540"/>
        <w:jc w:val="both"/>
      </w:pPr>
    </w:p>
    <w:p w:rsidR="00F57449" w:rsidRDefault="00F57449">
      <w:pPr>
        <w:pStyle w:val="ConsPlusNormal"/>
        <w:spacing w:line="200" w:lineRule="auto"/>
        <w:jc w:val="center"/>
      </w:pPr>
      <w:r>
        <w:t>ПРИКАЗ</w:t>
      </w:r>
    </w:p>
    <w:p w:rsidR="00F57449" w:rsidRDefault="00F57449">
      <w:pPr>
        <w:pStyle w:val="ConsPlusNormal"/>
        <w:spacing w:line="200" w:lineRule="auto"/>
        <w:jc w:val="center"/>
      </w:pPr>
      <w:r>
        <w:t>от 25 июня 2021 г. N 152-пр</w:t>
      </w:r>
    </w:p>
    <w:p w:rsidR="00F57449" w:rsidRDefault="00F57449">
      <w:pPr>
        <w:pStyle w:val="ConsPlusNormal"/>
        <w:spacing w:line="200" w:lineRule="auto"/>
        <w:ind w:firstLine="540"/>
        <w:jc w:val="both"/>
      </w:pPr>
    </w:p>
    <w:p w:rsidR="00F57449" w:rsidRDefault="00F57449">
      <w:pPr>
        <w:pStyle w:val="ConsPlusNormal"/>
        <w:spacing w:line="200" w:lineRule="auto"/>
        <w:jc w:val="center"/>
      </w:pPr>
      <w:r>
        <w:t>ПОРЯДОК РАЗРАБОТКИ И УТВЕРЖДЕНИЯ ОРГАНАМИ МЕСТНОГО</w:t>
      </w:r>
    </w:p>
    <w:p w:rsidR="00F57449" w:rsidRDefault="00F57449">
      <w:pPr>
        <w:pStyle w:val="ConsPlusNormal"/>
        <w:spacing w:line="200" w:lineRule="auto"/>
        <w:jc w:val="center"/>
      </w:pPr>
      <w:r>
        <w:t>САМОУПРАВЛЕНИЯ МУНИЦИПАЛЬНЫХ ОБРАЗОВАНИЙ АМУРСКОЙ</w:t>
      </w:r>
    </w:p>
    <w:p w:rsidR="00F57449" w:rsidRDefault="00F57449">
      <w:pPr>
        <w:pStyle w:val="ConsPlusNormal"/>
        <w:spacing w:line="200" w:lineRule="auto"/>
        <w:jc w:val="center"/>
      </w:pPr>
      <w:r>
        <w:t xml:space="preserve">ОБЛАСТИ СХЕМЫ РАЗМЕЩЕНИЯ </w:t>
      </w:r>
      <w:proofErr w:type="gramStart"/>
      <w:r>
        <w:t>НЕСТАЦИОНАРНЫХ</w:t>
      </w:r>
      <w:proofErr w:type="gramEnd"/>
    </w:p>
    <w:p w:rsidR="00F57449" w:rsidRDefault="00F57449">
      <w:pPr>
        <w:pStyle w:val="ConsPlusNormal"/>
        <w:spacing w:line="200" w:lineRule="auto"/>
        <w:jc w:val="center"/>
      </w:pPr>
      <w:r>
        <w:t>ТОРГОВЫХ ОБЪЕКТОВ</w:t>
      </w:r>
    </w:p>
    <w:p w:rsidR="00F57449" w:rsidRDefault="00F57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7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приказов минэкономразвития и внешних связей</w:t>
            </w:r>
            <w:proofErr w:type="gramEnd"/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Амурской области от 25.04.2022 </w:t>
            </w:r>
            <w:hyperlink r:id="rId6">
              <w:r>
                <w:rPr>
                  <w:color w:val="0000FF"/>
                </w:rPr>
                <w:t>N 107-пр</w:t>
              </w:r>
            </w:hyperlink>
            <w:r>
              <w:rPr>
                <w:color w:val="392C69"/>
              </w:rPr>
              <w:t>,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03.11.2022 </w:t>
            </w:r>
            <w:hyperlink r:id="rId7">
              <w:r>
                <w:rPr>
                  <w:color w:val="0000FF"/>
                </w:rPr>
                <w:t>N 265-Пр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</w:tr>
    </w:tbl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ind w:firstLine="540"/>
        <w:jc w:val="both"/>
      </w:pPr>
      <w:r>
        <w:t xml:space="preserve">На основании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30 января 2021 г. N 208-р приказываю: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разработки и утверждения органами местного самоуправления муниципальных </w:t>
      </w:r>
      <w:proofErr w:type="gramStart"/>
      <w:r>
        <w:t>образований Амурской области схемы размещения нестационарных торговых объектов</w:t>
      </w:r>
      <w:proofErr w:type="gramEnd"/>
      <w:r>
        <w:t>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2. Отделу потребительского рынка управления нефтегазовой, обрабатывающей промышленности и торговли министерства экономического развития и внешних связей Амурской области (О.А.Гулевич)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экономического развития и внешних связей области в информационно-телекоммуникационной сети Интернет и довести информацию до органов местного самоуправления области.</w:t>
      </w:r>
    </w:p>
    <w:p w:rsidR="00F57449" w:rsidRDefault="00F57449">
      <w:pPr>
        <w:pStyle w:val="ConsPlusNormal"/>
        <w:spacing w:line="20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приказа минэкономразвития и внешних связей Амурской области от 03.11.2022 </w:t>
      </w:r>
      <w:hyperlink r:id="rId10">
        <w:r>
          <w:rPr>
            <w:color w:val="0000FF"/>
          </w:rPr>
          <w:t>N 265-Пр</w:t>
        </w:r>
      </w:hyperlink>
      <w:r>
        <w:t>)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3. Рекомендовать органам местного самоуправления области: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1) в срок до 1 сентября 2021 года привести схемы размещения нестационарных торговых объектов", утвержденные ранее, в соответствие требованиям, установленным настоящим Порядком, и представить их не позднее 15 сентября 2021 года в министерство экономического развития и внешних связей области;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2) при разработке схем размещения нестационарных торговых объектов учитывать положения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30 января 2021 г. N 208-р.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4. </w:t>
      </w:r>
      <w:proofErr w:type="gramStart"/>
      <w:r>
        <w:t>Органам местного самоуправления Амурской области продлить на срок до 7 лет (если более длительные сроки продления не предусмотрены договором, актом субъекта Российской Федерации, органа местного самоуправления) без проведения торгов срок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</w:t>
      </w:r>
      <w:proofErr w:type="gramEnd"/>
      <w:r>
        <w:t xml:space="preserve"> собственности или муниципальной собственности, </w:t>
      </w:r>
      <w:proofErr w:type="gramStart"/>
      <w:r>
        <w:t>сроки</w:t>
      </w:r>
      <w:proofErr w:type="gramEnd"/>
      <w:r>
        <w:t xml:space="preserve"> действия которых истекают со дня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марта 2022 г. N 353 "Об особенностях разрешительной деятельности в Российской Федерации в 2022 году" по 31 декабря 2026 года.</w:t>
      </w:r>
    </w:p>
    <w:p w:rsidR="00F57449" w:rsidRDefault="00F57449">
      <w:pPr>
        <w:pStyle w:val="ConsPlusNormal"/>
        <w:spacing w:line="200" w:lineRule="auto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приказом минэкономразвития и внешних связей Амурской области от 25.04.2022 </w:t>
      </w:r>
      <w:hyperlink r:id="rId13">
        <w:r>
          <w:rPr>
            <w:color w:val="0000FF"/>
          </w:rPr>
          <w:t>N 107-пр</w:t>
        </w:r>
      </w:hyperlink>
      <w:r>
        <w:t>)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5.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экономического развития и внешних связей Амурской области от 24 декабря 2018 г. N 144-Пр "Об утверждении Порядка разработки и утверждения органами местного самоуправления схемы размещения нестационарных торговых объектов" признать утратившим силу.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экономического развития и внешних связей области Т.С.Величко.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right"/>
      </w:pPr>
      <w:r>
        <w:t>Министр</w:t>
      </w:r>
    </w:p>
    <w:p w:rsidR="00F57449" w:rsidRDefault="00F57449">
      <w:pPr>
        <w:pStyle w:val="ConsPlusNormal"/>
        <w:spacing w:line="200" w:lineRule="auto"/>
        <w:jc w:val="right"/>
      </w:pPr>
      <w:r>
        <w:t>Л.С.СТАРКОВА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right"/>
        <w:outlineLvl w:val="0"/>
      </w:pPr>
      <w:r>
        <w:t>Утвержден</w:t>
      </w:r>
    </w:p>
    <w:p w:rsidR="00F57449" w:rsidRDefault="00F57449">
      <w:pPr>
        <w:pStyle w:val="ConsPlusNormal"/>
        <w:spacing w:line="200" w:lineRule="auto"/>
        <w:jc w:val="right"/>
      </w:pPr>
      <w:r>
        <w:t>приказом</w:t>
      </w:r>
    </w:p>
    <w:p w:rsidR="00F57449" w:rsidRDefault="00F57449">
      <w:pPr>
        <w:pStyle w:val="ConsPlusNormal"/>
        <w:spacing w:line="200" w:lineRule="auto"/>
        <w:jc w:val="right"/>
      </w:pPr>
      <w:r>
        <w:t>министерства</w:t>
      </w:r>
    </w:p>
    <w:p w:rsidR="00F57449" w:rsidRDefault="00F57449">
      <w:pPr>
        <w:pStyle w:val="ConsPlusNormal"/>
        <w:spacing w:line="200" w:lineRule="auto"/>
        <w:jc w:val="right"/>
      </w:pPr>
      <w:r>
        <w:lastRenderedPageBreak/>
        <w:t>экономического развития</w:t>
      </w:r>
    </w:p>
    <w:p w:rsidR="00F57449" w:rsidRDefault="00F57449">
      <w:pPr>
        <w:pStyle w:val="ConsPlusNormal"/>
        <w:spacing w:line="200" w:lineRule="auto"/>
        <w:jc w:val="right"/>
      </w:pPr>
      <w:r>
        <w:t>и внешних связей</w:t>
      </w:r>
    </w:p>
    <w:p w:rsidR="00F57449" w:rsidRDefault="00F57449">
      <w:pPr>
        <w:pStyle w:val="ConsPlusNormal"/>
        <w:spacing w:line="200" w:lineRule="auto"/>
        <w:jc w:val="right"/>
      </w:pPr>
      <w:r>
        <w:t>Амурской области</w:t>
      </w:r>
    </w:p>
    <w:p w:rsidR="00F57449" w:rsidRDefault="00F57449">
      <w:pPr>
        <w:pStyle w:val="ConsPlusNormal"/>
        <w:spacing w:line="200" w:lineRule="auto"/>
        <w:jc w:val="right"/>
      </w:pPr>
      <w:r>
        <w:t>от 25 июня 2021 г. N 152-пр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center"/>
      </w:pPr>
      <w:bookmarkStart w:id="0" w:name="P43"/>
      <w:bookmarkEnd w:id="0"/>
      <w:r>
        <w:t>ПОРЯДОК</w:t>
      </w:r>
    </w:p>
    <w:p w:rsidR="00F57449" w:rsidRDefault="00F57449">
      <w:pPr>
        <w:pStyle w:val="ConsPlusNormal"/>
        <w:spacing w:line="200" w:lineRule="auto"/>
        <w:jc w:val="center"/>
      </w:pPr>
      <w:r>
        <w:t>РАЗРАБОТКИ И УТВЕРЖДЕНИЯ ОРГАНАМИ МЕСТНОГО САМОУПРАВЛЕНИЯ</w:t>
      </w:r>
    </w:p>
    <w:p w:rsidR="00F57449" w:rsidRDefault="00F57449">
      <w:pPr>
        <w:pStyle w:val="ConsPlusNormal"/>
        <w:spacing w:line="200" w:lineRule="auto"/>
        <w:jc w:val="center"/>
      </w:pPr>
      <w:r>
        <w:t>МУНИЦИПАЛЬНЫХ ОБРАЗОВАНИЙ АМУРСКОЙ ОБЛАСТИ СХЕМЫ</w:t>
      </w:r>
    </w:p>
    <w:p w:rsidR="00F57449" w:rsidRDefault="00F57449">
      <w:pPr>
        <w:pStyle w:val="ConsPlusNormal"/>
        <w:spacing w:line="200" w:lineRule="auto"/>
        <w:jc w:val="center"/>
      </w:pPr>
      <w:r>
        <w:t>РАЗМЕЩЕНИЯ НЕСТАЦИОНАРНЫХ ТОРГОВЫХ ОБЪЕКТОВ</w:t>
      </w:r>
    </w:p>
    <w:p w:rsidR="00F57449" w:rsidRDefault="00F57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7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приказа минэкономразвития и внешних связей</w:t>
            </w:r>
            <w:proofErr w:type="gramEnd"/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03.11.2022 </w:t>
            </w:r>
            <w:hyperlink r:id="rId15">
              <w:r>
                <w:rPr>
                  <w:color w:val="0000FF"/>
                </w:rPr>
                <w:t>N 265-Пр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449" w:rsidRDefault="00F57449">
            <w:pPr>
              <w:pStyle w:val="ConsPlusNormal"/>
            </w:pPr>
          </w:p>
        </w:tc>
      </w:tr>
    </w:tbl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center"/>
        <w:outlineLvl w:val="1"/>
      </w:pPr>
      <w:r>
        <w:t>1. Общие положения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разработки и утверждения органами местного самоуправления муниципальных образований области схемы размещения нестационарных торговых объектов разработан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</w:t>
      </w:r>
      <w:proofErr w:type="gramEnd"/>
      <w:r>
        <w:t xml:space="preserve"> от 30 января 2021 г. N 208-р.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1.2. Настоящий Порядок содержит требования к разработке, утверждению и внесению изменений органами местного самоуправления муниципальных образований Амурской области (далее - органы местного самоуправления) в схему размещения нестационарных торговых объектов (далее - схема размещения) на землях, земельных участках, в зданиях, строениях, сооружениях, находящихся в муниципальной, государственной собственности.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1.3. Положения настоящего Порядка, касающиеся размещения нестационарных торговых объектов, также распространяются на объекты общественного питания и объекты бытового обслуживания, расположенные в нестационарных объектах.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1.4.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находящихся на территориях розничных рынков;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при проведении ярмарок, имеющих временный характер, выставок-ярмарок;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при проведении праздничных, общественно-политических, культурно-массовых и спортивно-массовых мероприятий, имеющих временный характер, и ярмарок;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находящихся в стационарных торговых объектах, в иных зданиях, строениях, сооружениях или на земельных участках, в частной собственности.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1.5. Схема размещения на территории соответствующего муниципального образования должна быть направлена на формирование комфортной потребительской среды для граждан и субъектов предпринимательской деятельности и обеспечивать максимальный выбор ассортимента товаров посредством стимулирования роста любых форм предпринимательской активности.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bookmarkStart w:id="1" w:name="P62"/>
      <w:bookmarkEnd w:id="1"/>
      <w:r>
        <w:t>1.6. Разработка схемы размещения осуществляется в следующих целях: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удовлетворение потребности населения в доступности продовольственных и непродовольственных товаров (услуг) малыми форматами розничной торговли;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достижение и возможное наращивание установленных нормативов минимальной обеспеченности населения площадью нестационарных торговых объектов;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расширению рынков сбыта товаров российских производителей;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формирование многоформатной торговой инфраструктуры с учетом видов и типов торговых объектов, форм и способов торговли;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удовлетворение предпринимательских инициатив, направленных на формирование современной многоформатной торговой инфраструктуры;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proofErr w:type="gramStart"/>
      <w:r>
        <w:t xml:space="preserve">размещение нестационарных торговых объектов, используемых субъектами малого 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</w:t>
      </w:r>
      <w:r>
        <w:lastRenderedPageBreak/>
        <w:t xml:space="preserve">установленного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доход".</w:t>
      </w:r>
      <w:proofErr w:type="gramEnd"/>
    </w:p>
    <w:p w:rsidR="00F57449" w:rsidRDefault="00F57449">
      <w:pPr>
        <w:pStyle w:val="ConsPlusNormal"/>
        <w:spacing w:line="200" w:lineRule="auto"/>
        <w:jc w:val="both"/>
      </w:pPr>
      <w:r>
        <w:t xml:space="preserve">(абзац введен приказом минэкономразвития и внешних связей Амурской области от 03.11.2022 </w:t>
      </w:r>
      <w:hyperlink r:id="rId20">
        <w:r>
          <w:rPr>
            <w:color w:val="0000FF"/>
          </w:rPr>
          <w:t>N 265-Пр</w:t>
        </w:r>
      </w:hyperlink>
      <w:r>
        <w:t>)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1.7. При разработке схемы размещения органу местного самоуправления руководствоваться следующими принципами: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нестационарные объекты торговли оказывают весомое влияние на развитие малого бизнеса. Данный формат предполагает возможность легкого, быстрого и недорогого по первоначальным вложениям открытия бизнеса, в первую очередь для индивидуальных предпринимателей и микропредприятий;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в небольших населенных пунктах нестационарные торговые объекты и объекты общепита зачастую являются единственными;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малые торговые форматы, несмотря на превышение нормативов, а также развития торговых сетей, играют важную роль в экономике области, обеспечивая работой многих жителей, а также зачастую являются единственным каналом сбыта для мелких и средних местных производителей, в первую очередь сельхозпроизводителей и производителей продуктов питания, в том числе общественного питания;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proofErr w:type="gramStart"/>
      <w:r>
        <w:t>несмотря на превышение нормативов обеспеченности населения площадью стационарных торговых объектов, посадочными местами в объектах общественного питания, объектами нестационарной торговли в городах области, у потребителя должен быть выбор, в пределах шаговой доступности, должен иметь возможность исходя из своих доходов приобрести продовольственные товары, одежду, товары первой необходимости для дома, а также приобрести готовую еду или поесть в объектах общественного питания - как в</w:t>
      </w:r>
      <w:proofErr w:type="gramEnd"/>
      <w:r>
        <w:t xml:space="preserve"> </w:t>
      </w:r>
      <w:proofErr w:type="gramStart"/>
      <w:r>
        <w:t>формате</w:t>
      </w:r>
      <w:proofErr w:type="gramEnd"/>
      <w:r>
        <w:t xml:space="preserve"> быстрого питания, в том числе уличного.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1.8. Для целей настоящего Порядка используются следующие понятия: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схема размещения нестационарных торговых объектов - схема, определяющая места размещения НТО на земельных участках, в зданиях, строениях, сооружениях, находящихся в государственной собственности или муниципальной собственности;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хозяйствующий субъект, осуществляющий торговую деятельность - юридическое лицо, индивидуальный предприниматель, крестьянское (фермерское) хозяйство, физическое лицо, зарегистрированное в качестве плательщика налога на профессиональный доход, и осуществляющее приносящую доход деятельность в сфере торговли, общественного питания, оказания бытовых услуг, или гражданин, ведущий личное подсобное хозяйство, в соответствии с законодательством Российской Федерации.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1.9. К нестационарным торговым объектам (далее - НТО), включаемым в схему размещения, относятся: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НТО постоянного размещения: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киоск - НТО, представляющий собой сооружение без торгового зала с замкнутым пространством, внутри которого оборудовано одно рабочее место и осуществляется хранение товарного запаса;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остановочный комплекс - оснащенное торговым оборудованием нестационарное сооружение (киоск или павильон), объединенное с остановочным навесом;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пункт быстрого питания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торговый автомат (вендинговый автомат) - НТО,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торговая галерея - НТО, выполненный в едином архитектурном стиле, состоящий из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кровлей;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торговый павильон - НТО, представляющий собой отдельно стоящее строение (часть строения) или сооружение (часть сооружения) с замкнутым пространством, имеющее торговый зал </w:t>
      </w:r>
      <w:r>
        <w:lastRenderedPageBreak/>
        <w:t>и рассчитанное на одно или несколько рабочих мест (павильон может иметь помещения для хранения товарного запаса);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торговая палатка - НТО,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предназначенную для размещения одного или нескольких рабочих мест продавцов и товарного запаса на один день торговли;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2) НТО временного размещения: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бахчевой развал - НТО, представляющий собой специально оборудованную временную конструкцию в виде обособленной открытой или закрытой площадки или установленной торговой палатки, предназначенный для продажи сезонных бахчевых культур;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елочный базар - НТО,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3) передвижные (мобильные) НТО: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proofErr w:type="gramStart"/>
      <w:r>
        <w:t>автомагазин (торговый автофургон, автолавка) - НТО,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(ых) осуществляют предложение товаров, их отпуск и расчет с покупателями;</w:t>
      </w:r>
      <w:proofErr w:type="gramEnd"/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мобильный пункт быстрого питания (автокафе, фудтрак) - передвижное сооружение,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торговый 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в которой размещен товарный запас на один день;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торговая тележка - НТО, представляющее собой оснащенную колесным механизмом конструкцию на одно рабочее место и предназначенное для перемещения и продажи штучных товаров в потребительской упаковке.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center"/>
        <w:outlineLvl w:val="1"/>
      </w:pPr>
      <w:bookmarkStart w:id="2" w:name="P98"/>
      <w:bookmarkEnd w:id="2"/>
      <w:r>
        <w:t>2. Требования к содержанию схемы размещения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ind w:firstLine="540"/>
        <w:jc w:val="both"/>
      </w:pPr>
      <w:r>
        <w:t>2.1. При разработке схемы размещения учитываются: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особенности развития торговой деятельности муниципальных образований Амурской области;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необходимость размещения не менее чем 60% НТО, используемых субъектами малого или среднего предпринимательства, осуществляющими торговую деятельность, от общего количества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необходимость размещения не менее 10% нестационарных торговых объектов от общего количества нестационарных торговых объектов, используемых крестьянскими (фермерскими) хозяйствами, а также гражданами, ведущими личное подсобное хозяйство, занимающимися садоводством, огородничеством, осуществляющими заготовку пищевых лесных ресурсов;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обеспечение беспрепятственного развития улично-дорожной сети;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обеспечение беспрепятственного движения транспорта и пешеходов;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специализация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обеспечение соответствия деятельности НТО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2.2. Размещение НТО должно обеспечивать свободное движение пешеходов и доступ потребителей к торговым объектам, в том числе обеспечение безбарьерной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lastRenderedPageBreak/>
        <w:t>2.3. Внешний вид НТО должен соответствовать внешнему архитектурному облику сложившейся застройки муниципального образования.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2.4. Площадки для размещения НТО и прилегающая территория должны быть благоустроены.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bookmarkStart w:id="3" w:name="P111"/>
      <w:bookmarkEnd w:id="3"/>
      <w:r>
        <w:t>2.5. Не допускается размещение НТО: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proofErr w:type="gramStart"/>
      <w:r>
        <w:t>в местах, не включенных в схему размещения;</w:t>
      </w:r>
      <w:proofErr w:type="gramEnd"/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proofErr w:type="gramStart"/>
      <w:r>
        <w:t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трубопроводов;</w:t>
      </w:r>
      <w:proofErr w:type="gramEnd"/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на расстоянии менее 25 метров от мест сбора мусора и пищевых отходов, дворовых уборных, выгребных ям;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в случае если размещение НТО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без приспособления для беспрепятственного доступа к ним и использования их инвалидами и другими маломобильными группами населения;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с нарушением санитарных, градостроительных, противопожарных норм и правил, требований в сфере благоустройства.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2.6. Схема размещения является единой для муниципального района, городского округа и утверждается нормативным правовым актом уполномоченного органа местного самоуправления соответствующего муниципального образования.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Утверждение схемы размещения и вносимые в нее изменения не могут служить основанием для пересмотра мест размещения НТО, строительство, реконструкция или эксплуатация которых были начаты до утверждения указанной схемы.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2.7. Схема размещения состоит из текстовой и графической частей.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Текстовая часть </w:t>
      </w:r>
      <w:hyperlink w:anchor="P170">
        <w:r>
          <w:rPr>
            <w:color w:val="0000FF"/>
          </w:rPr>
          <w:t>схемы</w:t>
        </w:r>
      </w:hyperlink>
      <w:r>
        <w:t xml:space="preserve"> размещения составляется в виде таблицы, разработанной по форме согласно приложению к настоящему Порядку. В текстовой части схемы отражается следующая информация: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а) адресные ориентиры, вид, специализация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б) форма собственности земельного участка, на котором будет расположен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в) период размещения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г) информация о возможности размещения НТО субъектами малого и среднего предпринимательства;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д) площадь земельного участка, площадь нестационарного торгового объекта.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Графическая часть схемы размещения разрабатывается в виде копии инженерно-топографического плана в масштабе М 1:500 с обозначением на ней мест расположения НТО.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center"/>
        <w:outlineLvl w:val="1"/>
      </w:pPr>
      <w:r>
        <w:t>3. Разработка и утверждение схемы размещения, внесение</w:t>
      </w:r>
    </w:p>
    <w:p w:rsidR="00F57449" w:rsidRDefault="00F57449">
      <w:pPr>
        <w:pStyle w:val="ConsPlusNormal"/>
        <w:spacing w:line="200" w:lineRule="auto"/>
        <w:jc w:val="center"/>
      </w:pPr>
      <w:r>
        <w:t>предложений при разработке схемы размещения, предложений</w:t>
      </w:r>
    </w:p>
    <w:p w:rsidR="00F57449" w:rsidRDefault="00F57449">
      <w:pPr>
        <w:pStyle w:val="ConsPlusNormal"/>
        <w:spacing w:line="200" w:lineRule="auto"/>
        <w:jc w:val="center"/>
      </w:pPr>
      <w:r>
        <w:t>по изменению утвержденной схемы размещения, согласование</w:t>
      </w:r>
    </w:p>
    <w:p w:rsidR="00F57449" w:rsidRDefault="00F57449">
      <w:pPr>
        <w:pStyle w:val="ConsPlusNormal"/>
        <w:spacing w:line="200" w:lineRule="auto"/>
        <w:jc w:val="center"/>
      </w:pPr>
      <w:r>
        <w:t>включения в схему размещения НТО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ind w:firstLine="540"/>
        <w:jc w:val="both"/>
      </w:pPr>
      <w:r>
        <w:t>3.1. Инициаторами изменений схемы размещения могут быть: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юридические лица и индивидуальные предприниматели, крестьянские (фермерские) хозяйства, осуществляющие деятельность на территории соответствующего муниципального образования;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орган местного самоуправления муниципального образования, на территории которого утверждена или планируется к утверждению соответствующая схема размещения;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орган исполнительной власти Амурской области, уполномоченный на распоряжение </w:t>
      </w:r>
      <w:r>
        <w:lastRenderedPageBreak/>
        <w:t>имуществом Амурской области, в части внесения изменений, касающихся размещения НТО на землях или земельных участках, в зданиях, строениях, сооружениях, находящихся в их распоряжении и расположенных на территории Амурской области;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граждане, проживающие на территории соответствующего муниципального образования.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3.2. Предложения, направленные для включения в схему размещения от инициаторов, должны включать: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bookmarkStart w:id="4" w:name="P141"/>
      <w:bookmarkEnd w:id="4"/>
      <w:r>
        <w:t>1) адрес или адресное обозначение предлагаемого места расположения НТО с указанием границ улиц, дорог, проездов, иных ориентиров (при наличии);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2) вид и специализацию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bookmarkStart w:id="5" w:name="P143"/>
      <w:bookmarkEnd w:id="5"/>
      <w:r>
        <w:t>3) площадь места, которое необходимо для расположения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bookmarkStart w:id="6" w:name="P144"/>
      <w:bookmarkEnd w:id="6"/>
      <w:r>
        <w:t>4) адрес и наименование стационарного предприятия общественного питания, при котором планируется размещение сезонного (летнего) кафе (в случае если предложение направлено на включение в схему сезонного (летнего) кафе при стационарном предприятии общественного питания).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3.3. Решение о включении в схему размещения НТО по результатам рассмотрения предложения, внесенного в орган местного самоуправления заинтересованным лицом, принимается органом местного самоуправления с учетом целей, предусмотренных </w:t>
      </w:r>
      <w:hyperlink w:anchor="P62">
        <w:r>
          <w:rPr>
            <w:color w:val="0000FF"/>
          </w:rPr>
          <w:t>пунктом 1.6</w:t>
        </w:r>
      </w:hyperlink>
      <w:r>
        <w:t xml:space="preserve"> настоящего Порядка.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3.4. Основаниями для отказа органа местного самоуправления во включении в схему размещения НТО по предложению заинтересованного лица являются: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1) отсутствие в предложении заинтересованного лица сведений, предусмотренных </w:t>
      </w:r>
      <w:hyperlink w:anchor="P141">
        <w:r>
          <w:rPr>
            <w:color w:val="0000FF"/>
          </w:rPr>
          <w:t>подпунктами 1</w:t>
        </w:r>
      </w:hyperlink>
      <w:r>
        <w:t xml:space="preserve"> - </w:t>
      </w:r>
      <w:hyperlink w:anchor="P143">
        <w:r>
          <w:rPr>
            <w:color w:val="0000FF"/>
          </w:rPr>
          <w:t>3 пункта 3.2</w:t>
        </w:r>
      </w:hyperlink>
      <w:r>
        <w:t xml:space="preserve"> настоящего Порядка, в случае направления предложений для включения в схему размещения НТО;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2) отсутствие в предложении заинтересованного лица сведений, предусмотренных </w:t>
      </w:r>
      <w:hyperlink w:anchor="P141">
        <w:r>
          <w:rPr>
            <w:color w:val="0000FF"/>
          </w:rPr>
          <w:t>подпунктами 1</w:t>
        </w:r>
      </w:hyperlink>
      <w:r>
        <w:t xml:space="preserve"> - </w:t>
      </w:r>
      <w:hyperlink w:anchor="P144">
        <w:r>
          <w:rPr>
            <w:color w:val="0000FF"/>
          </w:rPr>
          <w:t>4 пункта 3.2</w:t>
        </w:r>
      </w:hyperlink>
      <w:r>
        <w:t xml:space="preserve"> настоящего Порядка, в случае направления предложений для включения в схему сезонного (летнего) кафе при стационарном предприятии общественного питания;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3) несоответствие предлагаемого места расположения НТО нормам и требованиям законодательства, предусмотренным </w:t>
      </w:r>
      <w:hyperlink w:anchor="P11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7) отсутствие у заинтересованного лица имущественных прав на здание, строение, сооружение, нежилое помещение, в котором размещено стационарное предприятие общественного питания, в случае направления предложений для включения в схему размещения сезонного (летнего) кафе при стационарном предприятии общественного питания.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 xml:space="preserve">3.5. Проект схемы размещения (проект изменений, внесенных в схему размещения) разрабатывается комиссией по размещению нестационарных объектов с учетом требований, установленных </w:t>
      </w:r>
      <w:hyperlink w:anchor="P98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3.6. Решение о включении НТО в схему размещения или об отказе во включении в схему размещения по предложению заинтересованного лица принимается в течение 30 календарных дней со дня поступления соответствующего предложения комиссией по размещению нестационарных объектов. Об указанном в настоящем пункте решении орган местного самоуправления письменно уведомляет лицо, подавшее соответствующее предложение, в срок не позднее 5 рабочих дней со дня принятия указанного решения.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3.7. Схема размещения и вносимые в нее изменения утверждаются нормативным правовым актом органа местного самоуправления и подлежат официальному опубликованию в средствах массовой информации и размещению на официальном сайте органа местного самоуправления в информационно-телекоммуникационной сети Интернет.</w:t>
      </w:r>
    </w:p>
    <w:p w:rsidR="00F57449" w:rsidRDefault="00F57449">
      <w:pPr>
        <w:pStyle w:val="ConsPlusNormal"/>
        <w:spacing w:before="200" w:line="200" w:lineRule="auto"/>
        <w:ind w:firstLine="540"/>
        <w:jc w:val="both"/>
      </w:pPr>
      <w:r>
        <w:t>Утвержденная органом местного самоуправления схема размещения и вносимые в нее изменения представляются в министерство экономического развития и внешних связей области в электронном виде для опубликования на официальном сайте министерства в информационно-телекоммуникационной сети Интернет в течение 10 дней со дня утверждения.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right"/>
        <w:outlineLvl w:val="1"/>
      </w:pPr>
      <w:r>
        <w:t>Приложение N 1</w:t>
      </w:r>
    </w:p>
    <w:p w:rsidR="00F57449" w:rsidRDefault="00F57449">
      <w:pPr>
        <w:pStyle w:val="ConsPlusNormal"/>
        <w:spacing w:line="200" w:lineRule="auto"/>
        <w:jc w:val="right"/>
      </w:pPr>
      <w:r>
        <w:t>к Порядку</w:t>
      </w: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right"/>
      </w:pPr>
      <w:r>
        <w:t>Форма</w:t>
      </w:r>
    </w:p>
    <w:p w:rsidR="00F57449" w:rsidRDefault="00F57449">
      <w:pPr>
        <w:pStyle w:val="ConsPlusNormal"/>
        <w:spacing w:line="20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7"/>
        <w:gridCol w:w="3944"/>
      </w:tblGrid>
      <w:tr w:rsidR="00F57449">
        <w:tc>
          <w:tcPr>
            <w:tcW w:w="5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  <w:spacing w:line="200" w:lineRule="auto"/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  <w:spacing w:line="200" w:lineRule="auto"/>
            </w:pPr>
            <w:r>
              <w:t>Утверждена</w:t>
            </w:r>
          </w:p>
        </w:tc>
      </w:tr>
      <w:tr w:rsidR="00F57449">
        <w:tc>
          <w:tcPr>
            <w:tcW w:w="5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49" w:rsidRDefault="00F57449">
            <w:pPr>
              <w:pStyle w:val="ConsPlusNormal"/>
              <w:spacing w:line="200" w:lineRule="auto"/>
            </w:pPr>
          </w:p>
        </w:tc>
      </w:tr>
      <w:tr w:rsidR="00F57449">
        <w:tc>
          <w:tcPr>
            <w:tcW w:w="5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proofErr w:type="gramStart"/>
            <w:r>
              <w:t>(наименование муниципального</w:t>
            </w:r>
            <w:proofErr w:type="gramEnd"/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правового акта, его дата и номер)</w:t>
            </w:r>
          </w:p>
        </w:tc>
      </w:tr>
      <w:tr w:rsidR="00F5744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bookmarkStart w:id="7" w:name="P170"/>
            <w:bookmarkEnd w:id="7"/>
            <w:r>
              <w:t>СХЕМА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размещения нестационарных торговых объектов на территории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____________________________________________________________</w:t>
            </w:r>
          </w:p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(наименование муниципального образования Амурской области)</w:t>
            </w:r>
          </w:p>
        </w:tc>
      </w:tr>
    </w:tbl>
    <w:p w:rsidR="00F57449" w:rsidRDefault="00F57449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247"/>
        <w:gridCol w:w="964"/>
        <w:gridCol w:w="1020"/>
        <w:gridCol w:w="1077"/>
        <w:gridCol w:w="1191"/>
        <w:gridCol w:w="1361"/>
      </w:tblGrid>
      <w:tr w:rsidR="00F57449">
        <w:tc>
          <w:tcPr>
            <w:tcW w:w="90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Порядковый номер</w:t>
            </w:r>
          </w:p>
        </w:tc>
        <w:tc>
          <w:tcPr>
            <w:tcW w:w="1304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Адресные ориентиры нестационарного торгового объекта</w:t>
            </w:r>
          </w:p>
        </w:tc>
        <w:tc>
          <w:tcPr>
            <w:tcW w:w="124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Площадь земельного участка, нестационарного торгового объекта (здания, строения, сооружения) или его части (кв. м)</w:t>
            </w:r>
          </w:p>
        </w:tc>
        <w:tc>
          <w:tcPr>
            <w:tcW w:w="964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Размещение нестационарного торгового объекта субъектами малого или среднего предпринимательства (да/нет)</w:t>
            </w:r>
          </w:p>
        </w:tc>
        <w:tc>
          <w:tcPr>
            <w:tcW w:w="1020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07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191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1361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Период размещения нестационарного торгового объекта (начало и окончание периода)</w:t>
            </w:r>
          </w:p>
        </w:tc>
      </w:tr>
      <w:tr w:rsidR="00F57449">
        <w:tc>
          <w:tcPr>
            <w:tcW w:w="90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57449" w:rsidRDefault="00F57449">
            <w:pPr>
              <w:pStyle w:val="ConsPlusNormal"/>
              <w:spacing w:line="200" w:lineRule="auto"/>
              <w:jc w:val="center"/>
            </w:pPr>
            <w:r>
              <w:t>9</w:t>
            </w:r>
          </w:p>
        </w:tc>
      </w:tr>
    </w:tbl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spacing w:line="200" w:lineRule="auto"/>
        <w:jc w:val="both"/>
      </w:pPr>
    </w:p>
    <w:p w:rsidR="00F57449" w:rsidRDefault="00F574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8" w:name="_GoBack"/>
      <w:bookmarkEnd w:id="8"/>
    </w:p>
    <w:sectPr w:rsidR="006A03BC" w:rsidSect="00A4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26"/>
    <w:rsid w:val="00130726"/>
    <w:rsid w:val="006A03BC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4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4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17D9914C003A755EF69C780017B2D8C0005B8E1623A26EFCB021F204231ED3C5F189ED6C3DB3B9C01ECCD29A89787936CCAB421BF947Dp7Y4I" TargetMode="External"/><Relationship Id="rId13" Type="http://schemas.openxmlformats.org/officeDocument/2006/relationships/hyperlink" Target="consultantplus://offline/ref=05617D9914C003A755EF77CA966D252888085FB2E2643878B09604487F1237B87C1F1ECB9587D73B980AB89C68F6CED7D527C7B43DA3947E69AEE74BpFY8I" TargetMode="External"/><Relationship Id="rId18" Type="http://schemas.openxmlformats.org/officeDocument/2006/relationships/hyperlink" Target="consultantplus://offline/ref=05617D9914C003A755EF69C780017B2D8C0004BBE7643A26EFCB021F204231ED3C5F189ED6C3DA3B9901ECCD29A89787936CCAB421BF947Dp7Y4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617D9914C003A755EF77CA966D252888085FB2E2633473B69804487F1237B87C1F1ECB9587D73B980AB89C68F6CED7D527C7B43DA3947E69AEE74BpFY8I" TargetMode="External"/><Relationship Id="rId12" Type="http://schemas.openxmlformats.org/officeDocument/2006/relationships/hyperlink" Target="consultantplus://offline/ref=05617D9914C003A755EF69C780017B2D8C0007BFE7663A26EFCB021F204231ED2E5F4092D7C1C43A9914BA9C6FpFYEI" TargetMode="External"/><Relationship Id="rId17" Type="http://schemas.openxmlformats.org/officeDocument/2006/relationships/hyperlink" Target="consultantplus://offline/ref=05617D9914C003A755EF69C780017B2D8C0103BDE6673A26EFCB021F204231ED2E5F4092D7C1C43A9914BA9C6FpFY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617D9914C003A755EF69C780017B2D8C0005B8E1623A26EFCB021F204231ED3C5F189ED6C3DB3B9C01ECCD29A89787936CCAB421BF947Dp7Y4I" TargetMode="External"/><Relationship Id="rId20" Type="http://schemas.openxmlformats.org/officeDocument/2006/relationships/hyperlink" Target="consultantplus://offline/ref=05617D9914C003A755EF77CA966D252888085FB2E2633473B69804487F1237B87C1F1ECB9587D73B980AB89C6AF6CED7D527C7B43DA3947E69AEE74BpFY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17D9914C003A755EF77CA966D252888085FB2E2643878B09604487F1237B87C1F1ECB9587D73B980AB89C68F6CED7D527C7B43DA3947E69AEE74BpFY8I" TargetMode="External"/><Relationship Id="rId11" Type="http://schemas.openxmlformats.org/officeDocument/2006/relationships/hyperlink" Target="consultantplus://offline/ref=05617D9914C003A755EF69C780017B2D8C0004BBE7643A26EFCB021F204231ED2E5F4092D7C1C43A9914BA9C6FpFY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5617D9914C003A755EF77CA966D252888085FB2E2633473B69804487F1237B87C1F1ECB9587D73B980AB89C6AF6CED7D527C7B43DA3947E69AEE74BpFY8I" TargetMode="External"/><Relationship Id="rId10" Type="http://schemas.openxmlformats.org/officeDocument/2006/relationships/hyperlink" Target="consultantplus://offline/ref=05617D9914C003A755EF77CA966D252888085FB2E2633473B69804487F1237B87C1F1ECB9587D73B980AB89C6BF6CED7D527C7B43DA3947E69AEE74BpFY8I" TargetMode="External"/><Relationship Id="rId19" Type="http://schemas.openxmlformats.org/officeDocument/2006/relationships/hyperlink" Target="consultantplus://offline/ref=05617D9914C003A755EF69C780017B2D8C0000B6EB633A26EFCB021F204231ED2E5F4092D7C1C43A9914BA9C6FpFY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17D9914C003A755EF69C780017B2D8C0004BBE7643A26EFCB021F204231ED3C5F189ED6C3DA3B9901ECCD29A89787936CCAB421BF947Dp7Y4I" TargetMode="External"/><Relationship Id="rId14" Type="http://schemas.openxmlformats.org/officeDocument/2006/relationships/hyperlink" Target="consultantplus://offline/ref=05617D9914C003A755EF77CA966D252888085FB2E2663472B09F04487F1237B87C1F1ECB87878F379908A69C6CE3988693p7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3713</Words>
  <Characters>21165</Characters>
  <Application>Microsoft Office Word</Application>
  <DocSecurity>0</DocSecurity>
  <Lines>176</Lines>
  <Paragraphs>49</Paragraphs>
  <ScaleCrop>false</ScaleCrop>
  <Company/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2023-01-12T08:23:00Z</dcterms:created>
  <dcterms:modified xsi:type="dcterms:W3CDTF">2023-01-12T08:24:00Z</dcterms:modified>
</cp:coreProperties>
</file>